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CCD03">
      <w:pPr>
        <w:tabs>
          <w:tab w:val="left" w:pos="8236"/>
          <w:tab w:val="left" w:pos="9230"/>
        </w:tabs>
        <w:spacing w:before="0" w:after="0" w:line="580" w:lineRule="auto"/>
        <w:ind w:left="0" w:right="0" w:firstLine="0"/>
        <w:jc w:val="both"/>
        <w:rPr>
          <w:rFonts w:ascii="方正黑体_GBK" w:hAnsi="方正黑体_GBK" w:eastAsia="方正黑体_GBK" w:cs="方正黑体_GBK"/>
          <w:color w:val="auto"/>
          <w:spacing w:val="0"/>
          <w:position w:val="0"/>
          <w:sz w:val="33"/>
          <w:shd w:val="clear" w:fill="auto"/>
        </w:rPr>
      </w:pPr>
      <w:r>
        <w:rPr>
          <w:rFonts w:ascii="宋体" w:hAnsi="宋体" w:eastAsia="宋体" w:cs="宋体"/>
          <w:color w:val="auto"/>
          <w:spacing w:val="0"/>
          <w:position w:val="0"/>
          <w:sz w:val="33"/>
          <w:shd w:val="clear" w:fill="auto"/>
        </w:rPr>
        <w:t>附</w:t>
      </w:r>
      <w:r>
        <w:rPr>
          <w:rFonts w:ascii="方正黑体_GBK" w:hAnsi="方正黑体_GBK" w:eastAsia="方正黑体_GBK" w:cs="方正黑体_GBK"/>
          <w:color w:val="auto"/>
          <w:spacing w:val="0"/>
          <w:position w:val="0"/>
          <w:sz w:val="33"/>
          <w:shd w:val="clear" w:fill="auto"/>
        </w:rPr>
        <w:t>5-2</w:t>
      </w:r>
    </w:p>
    <w:p w14:paraId="33932E42">
      <w:pPr>
        <w:spacing w:before="0" w:after="0" w:line="580" w:lineRule="auto"/>
        <w:ind w:left="0" w:right="-790" w:firstLine="0"/>
        <w:jc w:val="center"/>
        <w:rPr>
          <w:rFonts w:ascii="宋体" w:hAnsi="宋体" w:eastAsia="宋体" w:cs="宋体"/>
          <w:b/>
          <w:color w:val="auto"/>
          <w:spacing w:val="0"/>
          <w:position w:val="0"/>
          <w:sz w:val="44"/>
          <w:shd w:val="clear" w:fill="FFFFFF"/>
        </w:rPr>
      </w:pPr>
    </w:p>
    <w:p w14:paraId="79633EDD">
      <w:pPr>
        <w:spacing w:before="0" w:after="0" w:line="580" w:lineRule="auto"/>
        <w:ind w:left="0" w:right="0" w:firstLine="660"/>
        <w:jc w:val="left"/>
        <w:rPr>
          <w:rFonts w:ascii="宋体" w:hAnsi="宋体" w:eastAsia="宋体" w:cs="宋体"/>
          <w:color w:val="auto"/>
          <w:spacing w:val="0"/>
          <w:position w:val="0"/>
          <w:sz w:val="44"/>
          <w:shd w:val="clear" w:fill="FFFFFF"/>
        </w:rPr>
      </w:pPr>
      <w:r>
        <w:rPr>
          <w:rFonts w:ascii="宋体" w:hAnsi="宋体" w:eastAsia="宋体" w:cs="宋体"/>
          <w:color w:val="auto"/>
          <w:spacing w:val="0"/>
          <w:position w:val="0"/>
          <w:sz w:val="44"/>
          <w:shd w:val="clear" w:fill="FFFFFF"/>
        </w:rPr>
        <w:t xml:space="preserve">   峨边彝族自治县发展和改革局</w:t>
      </w:r>
    </w:p>
    <w:p w14:paraId="58CF48DB">
      <w:pPr>
        <w:spacing w:before="0" w:after="0" w:line="580" w:lineRule="auto"/>
        <w:ind w:left="0" w:right="0" w:firstLine="660"/>
        <w:jc w:val="left"/>
        <w:rPr>
          <w:rFonts w:ascii="宋体" w:hAnsi="宋体" w:eastAsia="宋体" w:cs="宋体"/>
          <w:color w:val="000000"/>
          <w:spacing w:val="0"/>
          <w:position w:val="0"/>
          <w:sz w:val="44"/>
          <w:shd w:val="clear" w:fill="FFFFFF"/>
        </w:rPr>
      </w:pPr>
      <w:r>
        <w:rPr>
          <w:rFonts w:ascii="宋体" w:hAnsi="宋体" w:eastAsia="宋体" w:cs="宋体"/>
          <w:color w:val="auto"/>
          <w:spacing w:val="0"/>
          <w:position w:val="0"/>
          <w:sz w:val="44"/>
          <w:shd w:val="clear" w:fill="FFFFFF"/>
        </w:rPr>
        <w:t xml:space="preserve">   2023年部门整体绩效自评报告</w:t>
      </w:r>
    </w:p>
    <w:p w14:paraId="7479ED5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黑体" w:hAnsi="黑体" w:eastAsia="黑体" w:cs="黑体"/>
          <w:color w:val="000000"/>
          <w:spacing w:val="0"/>
          <w:position w:val="0"/>
          <w:sz w:val="32"/>
          <w:shd w:val="clear" w:fill="FFFFFF"/>
        </w:rPr>
      </w:pPr>
    </w:p>
    <w:p w14:paraId="75F7125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黑体" w:hAnsi="黑体" w:eastAsia="黑体" w:cs="黑体"/>
          <w:color w:val="000000"/>
          <w:spacing w:val="0"/>
          <w:position w:val="0"/>
          <w:sz w:val="32"/>
          <w:shd w:val="clear" w:fill="FFFFFF"/>
        </w:rPr>
      </w:pPr>
      <w:r>
        <w:rPr>
          <w:rFonts w:ascii="黑体" w:hAnsi="黑体" w:eastAsia="黑体" w:cs="黑体"/>
          <w:color w:val="000000"/>
          <w:spacing w:val="0"/>
          <w:position w:val="0"/>
          <w:sz w:val="32"/>
          <w:shd w:val="clear" w:fill="FFFFFF"/>
        </w:rPr>
        <w:t>一、部门基本情况</w:t>
      </w:r>
    </w:p>
    <w:p w14:paraId="46406DF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hint="eastAsia" w:ascii="楷体" w:hAnsi="楷体" w:eastAsia="楷体" w:cs="楷体"/>
          <w:color w:val="000000"/>
          <w:spacing w:val="0"/>
          <w:position w:val="0"/>
          <w:sz w:val="32"/>
          <w:shd w:val="clear" w:fill="FFFFFF"/>
        </w:rPr>
      </w:pPr>
      <w:r>
        <w:rPr>
          <w:rFonts w:hint="eastAsia" w:ascii="楷体" w:hAnsi="楷体" w:eastAsia="楷体" w:cs="楷体"/>
          <w:color w:val="000000"/>
          <w:spacing w:val="0"/>
          <w:position w:val="0"/>
          <w:sz w:val="32"/>
          <w:shd w:val="clear" w:fill="FFFFFF"/>
        </w:rPr>
        <w:t>（一）机构组成。</w:t>
      </w:r>
    </w:p>
    <w:p w14:paraId="11C8AF8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hint="eastAsia" w:ascii="楷体" w:hAnsi="楷体" w:eastAsia="楷体" w:cs="楷体"/>
          <w:color w:val="000000"/>
          <w:spacing w:val="0"/>
          <w:position w:val="0"/>
          <w:sz w:val="32"/>
          <w:shd w:val="clear" w:fill="FFFFFF"/>
        </w:rPr>
      </w:pPr>
      <w:r>
        <w:rPr>
          <w:rFonts w:ascii="仿宋" w:hAnsi="仿宋" w:eastAsia="仿宋" w:cs="仿宋"/>
          <w:color w:val="auto"/>
          <w:spacing w:val="0"/>
          <w:position w:val="0"/>
          <w:sz w:val="32"/>
          <w:shd w:val="clear" w:fill="auto"/>
        </w:rPr>
        <w:t xml:space="preserve">   </w:t>
      </w:r>
      <w:r>
        <w:rPr>
          <w:rFonts w:ascii="仿宋_GB2312" w:hAnsi="仿宋_GB2312" w:eastAsia="仿宋_GB2312" w:cs="仿宋_GB2312"/>
          <w:color w:val="auto"/>
          <w:spacing w:val="0"/>
          <w:position w:val="0"/>
          <w:sz w:val="32"/>
          <w:shd w:val="clear" w:fill="auto"/>
        </w:rPr>
        <w:t xml:space="preserve"> 峨边彝族自治县发展和改革局</w:t>
      </w:r>
      <w:r>
        <w:rPr>
          <w:rFonts w:hint="eastAsia" w:ascii="仿宋_GB2312" w:hAnsi="仿宋_GB2312" w:eastAsia="仿宋_GB2312" w:cs="仿宋_GB2312"/>
          <w:color w:val="auto"/>
          <w:spacing w:val="0"/>
          <w:position w:val="0"/>
          <w:sz w:val="32"/>
          <w:shd w:val="clear" w:fill="auto"/>
          <w:lang w:eastAsia="zh-CN"/>
        </w:rPr>
        <w:t>（</w:t>
      </w:r>
      <w:r>
        <w:rPr>
          <w:rFonts w:ascii="仿宋_GB2312" w:hAnsi="仿宋_GB2312" w:eastAsia="仿宋_GB2312" w:cs="仿宋_GB2312"/>
          <w:color w:val="auto"/>
          <w:spacing w:val="0"/>
          <w:position w:val="0"/>
          <w:sz w:val="32"/>
          <w:shd w:val="clear" w:fill="auto"/>
        </w:rPr>
        <w:t>简称县发改局</w:t>
      </w:r>
      <w:r>
        <w:rPr>
          <w:rFonts w:hint="eastAsia" w:ascii="仿宋_GB2312" w:hAnsi="仿宋_GB2312" w:eastAsia="仿宋_GB2312" w:cs="仿宋_GB2312"/>
          <w:color w:val="auto"/>
          <w:spacing w:val="0"/>
          <w:position w:val="0"/>
          <w:sz w:val="32"/>
          <w:shd w:val="clear" w:fill="auto"/>
          <w:lang w:eastAsia="zh-CN"/>
        </w:rPr>
        <w:t>）</w:t>
      </w:r>
      <w:r>
        <w:rPr>
          <w:rFonts w:ascii="仿宋_GB2312" w:hAnsi="仿宋_GB2312" w:eastAsia="仿宋_GB2312" w:cs="仿宋_GB2312"/>
          <w:color w:val="auto"/>
          <w:spacing w:val="0"/>
          <w:position w:val="0"/>
          <w:sz w:val="32"/>
          <w:shd w:val="clear" w:fill="auto"/>
        </w:rPr>
        <w:t>为行政机关，一级预算正科级单位。单位设局长1名，副局长2名，中层职数6名，行政编制11个，工勤编制3个；内设办公室、项目投资服务股、项目建设管理股、政策法规股、国民经济综合股、物资储备与物价股；下属事业单位：峨边彝族自治县价格认定中心，事业编制2个；峨边彝族自治县项目服务中心，事业编制7人；峨边彝族自治县投资促进服务中心，事业编制8人。</w:t>
      </w:r>
    </w:p>
    <w:p w14:paraId="3C969C5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hint="eastAsia" w:ascii="楷体" w:hAnsi="楷体" w:eastAsia="楷体" w:cs="楷体"/>
          <w:color w:val="000000"/>
          <w:spacing w:val="0"/>
          <w:position w:val="0"/>
          <w:sz w:val="32"/>
          <w:shd w:val="clear" w:fill="FFFFFF"/>
        </w:rPr>
      </w:pPr>
      <w:r>
        <w:rPr>
          <w:rFonts w:hint="eastAsia" w:ascii="楷体" w:hAnsi="楷体" w:eastAsia="楷体" w:cs="楷体"/>
          <w:color w:val="000000"/>
          <w:spacing w:val="0"/>
          <w:position w:val="0"/>
          <w:sz w:val="32"/>
          <w:shd w:val="clear" w:fill="FFFFFF"/>
        </w:rPr>
        <w:t xml:space="preserve">（二）机构职能和人员概况。 </w:t>
      </w:r>
    </w:p>
    <w:p w14:paraId="7ACDB91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auto"/>
          <w:spacing w:val="0"/>
          <w:position w:val="0"/>
          <w:sz w:val="32"/>
          <w:shd w:val="clear" w:fill="auto"/>
        </w:rPr>
      </w:pPr>
      <w:r>
        <w:rPr>
          <w:rFonts w:ascii="仿宋" w:hAnsi="仿宋" w:eastAsia="仿宋" w:cs="仿宋"/>
          <w:color w:val="auto"/>
          <w:spacing w:val="0"/>
          <w:position w:val="0"/>
          <w:sz w:val="32"/>
          <w:shd w:val="clear" w:fill="auto"/>
        </w:rPr>
        <w:t xml:space="preserve">    </w:t>
      </w:r>
      <w:r>
        <w:rPr>
          <w:rFonts w:ascii="仿宋_GB2312" w:hAnsi="仿宋_GB2312" w:eastAsia="仿宋_GB2312" w:cs="仿宋_GB2312"/>
          <w:color w:val="auto"/>
          <w:spacing w:val="0"/>
          <w:position w:val="0"/>
          <w:sz w:val="32"/>
          <w:shd w:val="clear" w:fill="auto"/>
        </w:rPr>
        <w:t>1</w:t>
      </w:r>
      <w:r>
        <w:rPr>
          <w:rFonts w:hint="eastAsia" w:ascii="仿宋_GB2312" w:hAnsi="仿宋_GB2312" w:eastAsia="仿宋_GB2312" w:cs="仿宋_GB2312"/>
          <w:color w:val="auto"/>
          <w:spacing w:val="0"/>
          <w:position w:val="0"/>
          <w:sz w:val="32"/>
          <w:shd w:val="clear" w:fill="auto"/>
          <w:lang w:val="en-US" w:eastAsia="zh-CN"/>
        </w:rPr>
        <w:t>.</w:t>
      </w:r>
      <w:r>
        <w:rPr>
          <w:rFonts w:ascii="仿宋_GB2312" w:hAnsi="仿宋_GB2312" w:eastAsia="仿宋_GB2312" w:cs="仿宋_GB2312"/>
          <w:color w:val="auto"/>
          <w:spacing w:val="0"/>
          <w:position w:val="0"/>
          <w:sz w:val="32"/>
          <w:shd w:val="clear" w:fill="auto"/>
        </w:rPr>
        <w:t>贯彻实施国家、省、市有关国民经济和社会发展、经济体制改革的方针、政策和</w:t>
      </w:r>
      <w:r>
        <w:rPr>
          <w:rFonts w:hint="eastAsia" w:ascii="仿宋_GB2312" w:hAnsi="仿宋_GB2312" w:eastAsia="仿宋_GB2312" w:cs="仿宋_GB2312"/>
          <w:color w:val="auto"/>
          <w:spacing w:val="0"/>
          <w:position w:val="0"/>
          <w:sz w:val="32"/>
          <w:shd w:val="clear" w:fill="auto"/>
          <w:lang w:eastAsia="zh-CN"/>
        </w:rPr>
        <w:t>法律法规</w:t>
      </w:r>
      <w:r>
        <w:rPr>
          <w:rFonts w:ascii="仿宋_GB2312" w:hAnsi="仿宋_GB2312" w:eastAsia="仿宋_GB2312" w:cs="仿宋_GB2312"/>
          <w:color w:val="auto"/>
          <w:spacing w:val="0"/>
          <w:position w:val="0"/>
          <w:sz w:val="32"/>
          <w:shd w:val="clear" w:fill="auto"/>
        </w:rPr>
        <w:t>。负责拟订并组织实施全县国民经济和社会发展战略、中长期规划和年度计划。</w:t>
      </w:r>
    </w:p>
    <w:p w14:paraId="7D358A5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2</w:t>
      </w:r>
      <w:r>
        <w:rPr>
          <w:rFonts w:hint="eastAsia" w:ascii="仿宋_GB2312" w:hAnsi="仿宋_GB2312" w:eastAsia="仿宋_GB2312" w:cs="仿宋_GB2312"/>
          <w:color w:val="auto"/>
          <w:spacing w:val="0"/>
          <w:position w:val="0"/>
          <w:sz w:val="32"/>
          <w:shd w:val="clear" w:fill="auto"/>
          <w:lang w:val="en-US" w:eastAsia="zh-CN"/>
        </w:rPr>
        <w:t>.</w:t>
      </w:r>
      <w:r>
        <w:rPr>
          <w:rFonts w:ascii="仿宋_GB2312" w:hAnsi="仿宋_GB2312" w:eastAsia="仿宋_GB2312" w:cs="仿宋_GB2312"/>
          <w:color w:val="auto"/>
          <w:spacing w:val="0"/>
          <w:position w:val="0"/>
          <w:sz w:val="32"/>
          <w:shd w:val="clear" w:fill="auto"/>
        </w:rPr>
        <w:t>负责监测宏观经济和发展态势，承担预测预警和信息引导责任；研究协调全县宏观调控重大问题，参与制订财政、金融、土地、社会事业发展政策，综合分析政策执行效果，搞好总量平衡，提出政策调控建议。</w:t>
      </w:r>
    </w:p>
    <w:p w14:paraId="16321E4D">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3</w:t>
      </w:r>
      <w:r>
        <w:rPr>
          <w:rFonts w:hint="eastAsia" w:ascii="仿宋_GB2312" w:hAnsi="仿宋_GB2312" w:eastAsia="仿宋_GB2312" w:cs="仿宋_GB2312"/>
          <w:color w:val="auto"/>
          <w:spacing w:val="0"/>
          <w:position w:val="0"/>
          <w:sz w:val="32"/>
          <w:shd w:val="clear" w:fill="auto"/>
          <w:lang w:val="en-US" w:eastAsia="zh-CN"/>
        </w:rPr>
        <w:t>.</w:t>
      </w:r>
      <w:r>
        <w:rPr>
          <w:rFonts w:ascii="仿宋_GB2312" w:hAnsi="仿宋_GB2312" w:eastAsia="仿宋_GB2312" w:cs="仿宋_GB2312"/>
          <w:color w:val="auto"/>
          <w:spacing w:val="0"/>
          <w:position w:val="0"/>
          <w:sz w:val="32"/>
          <w:shd w:val="clear" w:fill="auto"/>
        </w:rPr>
        <w:t>提出年度价格总水平调控目标及价格调控措施并组织实施，承担行政事业性收费管理工作，负责全县价格成本调查监审、价格监测、价格认证等工作。</w:t>
      </w:r>
    </w:p>
    <w:p w14:paraId="7AAFAFAF">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4</w:t>
      </w:r>
      <w:r>
        <w:rPr>
          <w:rFonts w:hint="eastAsia" w:ascii="仿宋_GB2312" w:hAnsi="仿宋_GB2312" w:eastAsia="仿宋_GB2312" w:cs="仿宋_GB2312"/>
          <w:color w:val="auto"/>
          <w:spacing w:val="0"/>
          <w:position w:val="0"/>
          <w:sz w:val="32"/>
          <w:shd w:val="clear" w:fill="auto"/>
          <w:lang w:val="en-US" w:eastAsia="zh-CN"/>
        </w:rPr>
        <w:t>.</w:t>
      </w:r>
      <w:r>
        <w:rPr>
          <w:rFonts w:ascii="仿宋_GB2312" w:hAnsi="仿宋_GB2312" w:eastAsia="仿宋_GB2312" w:cs="仿宋_GB2312"/>
          <w:color w:val="auto"/>
          <w:spacing w:val="0"/>
          <w:position w:val="0"/>
          <w:sz w:val="32"/>
          <w:shd w:val="clear" w:fill="auto"/>
        </w:rPr>
        <w:t>负责全县投资宏观管理和协调推进重大项目建设。拟订全社会固定资产投资总规模和投资结构的调控目标、政策及措施，按规定权限转报固定资产投资项目。指导、协调并综合管理全县招标投标工作，对省、市、县重大建设项目建设过程中的工程招标投标活动实施监督检查。</w:t>
      </w:r>
    </w:p>
    <w:p w14:paraId="1BC27F8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5</w:t>
      </w:r>
      <w:r>
        <w:rPr>
          <w:rFonts w:hint="eastAsia" w:ascii="仿宋_GB2312" w:hAnsi="仿宋_GB2312" w:eastAsia="仿宋_GB2312" w:cs="仿宋_GB2312"/>
          <w:color w:val="auto"/>
          <w:spacing w:val="0"/>
          <w:position w:val="0"/>
          <w:sz w:val="32"/>
          <w:shd w:val="clear" w:fill="auto"/>
          <w:lang w:val="en-US" w:eastAsia="zh-CN"/>
        </w:rPr>
        <w:t>.</w:t>
      </w:r>
      <w:r>
        <w:rPr>
          <w:rFonts w:ascii="仿宋_GB2312" w:hAnsi="仿宋_GB2312" w:eastAsia="仿宋_GB2312" w:cs="仿宋_GB2312"/>
          <w:color w:val="auto"/>
          <w:spacing w:val="0"/>
          <w:position w:val="0"/>
          <w:sz w:val="32"/>
          <w:shd w:val="clear" w:fill="auto"/>
        </w:rPr>
        <w:t>贯彻执行国家有关科技发展的方针政策、法律法规，提出全县科技发展战略和科技促进经济与社会发展的政策措施；确定全县科技发展的布局和优先领域；负责全县科技创新体系建设工作。</w:t>
      </w:r>
    </w:p>
    <w:p w14:paraId="4B2E318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6</w:t>
      </w:r>
      <w:r>
        <w:rPr>
          <w:rFonts w:hint="eastAsia" w:ascii="仿宋_GB2312" w:hAnsi="仿宋_GB2312" w:eastAsia="仿宋_GB2312" w:cs="仿宋_GB2312"/>
          <w:color w:val="auto"/>
          <w:spacing w:val="0"/>
          <w:position w:val="0"/>
          <w:sz w:val="32"/>
          <w:shd w:val="clear" w:fill="auto"/>
          <w:lang w:val="en-US" w:eastAsia="zh-CN"/>
        </w:rPr>
        <w:t>.</w:t>
      </w:r>
      <w:r>
        <w:rPr>
          <w:rFonts w:ascii="仿宋_GB2312" w:hAnsi="仿宋_GB2312" w:eastAsia="仿宋_GB2312" w:cs="仿宋_GB2312"/>
          <w:color w:val="auto"/>
          <w:spacing w:val="0"/>
          <w:position w:val="0"/>
          <w:sz w:val="32"/>
          <w:shd w:val="clear" w:fill="auto"/>
        </w:rPr>
        <w:t>推进经济结构战略性调整。组织拟订全县综合性产业政策，重大产业发展规划，协调推进全县重大技术装备推广应用和重大产业基地建设及产业发展的重大问题</w:t>
      </w:r>
      <w:r>
        <w:rPr>
          <w:rFonts w:hint="eastAsia" w:ascii="仿宋_GB2312" w:hAnsi="仿宋_GB2312" w:eastAsia="仿宋_GB2312" w:cs="仿宋_GB2312"/>
          <w:color w:val="auto"/>
          <w:spacing w:val="0"/>
          <w:position w:val="0"/>
          <w:sz w:val="32"/>
          <w:shd w:val="clear" w:fill="auto"/>
          <w:lang w:eastAsia="zh-CN"/>
        </w:rPr>
        <w:t>，</w:t>
      </w:r>
      <w:r>
        <w:rPr>
          <w:rFonts w:ascii="仿宋_GB2312" w:hAnsi="仿宋_GB2312" w:eastAsia="仿宋_GB2312" w:cs="仿宋_GB2312"/>
          <w:color w:val="auto"/>
          <w:spacing w:val="0"/>
          <w:position w:val="0"/>
          <w:sz w:val="32"/>
          <w:shd w:val="clear" w:fill="auto"/>
        </w:rPr>
        <w:t>指导全县自主创新体系建设发展。</w:t>
      </w:r>
    </w:p>
    <w:p w14:paraId="749322AA">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7</w:t>
      </w:r>
      <w:r>
        <w:rPr>
          <w:rFonts w:hint="eastAsia" w:ascii="仿宋_GB2312" w:hAnsi="仿宋_GB2312" w:eastAsia="仿宋_GB2312" w:cs="仿宋_GB2312"/>
          <w:color w:val="auto"/>
          <w:spacing w:val="0"/>
          <w:position w:val="0"/>
          <w:sz w:val="32"/>
          <w:shd w:val="clear" w:fill="auto"/>
          <w:lang w:val="en-US" w:eastAsia="zh-CN"/>
        </w:rPr>
        <w:t>.</w:t>
      </w:r>
      <w:r>
        <w:rPr>
          <w:rFonts w:ascii="仿宋_GB2312" w:hAnsi="仿宋_GB2312" w:eastAsia="仿宋_GB2312" w:cs="仿宋_GB2312"/>
          <w:color w:val="auto"/>
          <w:spacing w:val="0"/>
          <w:position w:val="0"/>
          <w:sz w:val="32"/>
          <w:shd w:val="clear" w:fill="auto"/>
        </w:rPr>
        <w:t>拟订区域协调发展战略、规划和重大政策，研究提出城</w:t>
      </w:r>
      <w:bookmarkStart w:id="0" w:name="_GoBack"/>
      <w:r>
        <w:rPr>
          <w:rFonts w:ascii="仿宋_GB2312" w:hAnsi="仿宋_GB2312" w:eastAsia="仿宋_GB2312" w:cs="仿宋_GB2312"/>
          <w:color w:val="auto"/>
          <w:spacing w:val="0"/>
          <w:position w:val="0"/>
          <w:sz w:val="32"/>
          <w:shd w:val="clear" w:fill="auto"/>
        </w:rPr>
        <w:t xml:space="preserve">镇化发展战略和统筹城乡发展的重大政策，负责地区经济协作的统筹协调。                                                            </w:t>
      </w:r>
    </w:p>
    <w:bookmarkEnd w:id="0"/>
    <w:p w14:paraId="7C49E29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8</w:t>
      </w:r>
      <w:r>
        <w:rPr>
          <w:rFonts w:hint="eastAsia" w:ascii="仿宋_GB2312" w:hAnsi="仿宋_GB2312" w:eastAsia="仿宋_GB2312" w:cs="仿宋_GB2312"/>
          <w:color w:val="auto"/>
          <w:spacing w:val="0"/>
          <w:position w:val="0"/>
          <w:sz w:val="32"/>
          <w:shd w:val="clear" w:fill="auto"/>
          <w:lang w:val="en-US" w:eastAsia="zh-CN"/>
        </w:rPr>
        <w:t>.</w:t>
      </w:r>
      <w:r>
        <w:rPr>
          <w:rFonts w:ascii="仿宋_GB2312" w:hAnsi="仿宋_GB2312" w:eastAsia="仿宋_GB2312" w:cs="仿宋_GB2312"/>
          <w:color w:val="auto"/>
          <w:spacing w:val="0"/>
          <w:position w:val="0"/>
          <w:sz w:val="32"/>
          <w:shd w:val="clear" w:fill="auto"/>
        </w:rPr>
        <w:t>负责组织编制全县国民经济和装备动员规划、计划，研究国民经济动员和国民经济、国防建设的关系，协调相关重大问题，组织实施国民经济和装备动员有关工作。</w:t>
      </w:r>
    </w:p>
    <w:p w14:paraId="7A5F46A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9</w:t>
      </w:r>
      <w:r>
        <w:rPr>
          <w:rFonts w:hint="eastAsia" w:ascii="仿宋_GB2312" w:hAnsi="仿宋_GB2312" w:eastAsia="仿宋_GB2312" w:cs="仿宋_GB2312"/>
          <w:color w:val="auto"/>
          <w:spacing w:val="0"/>
          <w:position w:val="0"/>
          <w:sz w:val="32"/>
          <w:shd w:val="clear" w:fill="auto"/>
          <w:lang w:val="en-US" w:eastAsia="zh-CN"/>
        </w:rPr>
        <w:t>.</w:t>
      </w:r>
      <w:r>
        <w:rPr>
          <w:rFonts w:ascii="仿宋_GB2312" w:hAnsi="仿宋_GB2312" w:eastAsia="仿宋_GB2312" w:cs="仿宋_GB2312"/>
          <w:color w:val="auto"/>
          <w:spacing w:val="0"/>
          <w:position w:val="0"/>
          <w:sz w:val="32"/>
          <w:shd w:val="clear" w:fill="auto"/>
        </w:rPr>
        <w:t>编制全县粮食流通年度计划和中长期规划。建立、健全地方粮食储备制度，并对地方储备粮实行管理，确保全县粮食安全。负责应急储备物资、救灾物资日常管理工作并依法对全社会粮食流通进行监督检查。</w:t>
      </w:r>
    </w:p>
    <w:p w14:paraId="163EEAF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 xml:space="preserve">    10</w:t>
      </w:r>
      <w:r>
        <w:rPr>
          <w:rFonts w:hint="eastAsia" w:ascii="仿宋_GB2312" w:hAnsi="仿宋_GB2312" w:eastAsia="仿宋_GB2312" w:cs="仿宋_GB2312"/>
          <w:color w:val="auto"/>
          <w:spacing w:val="0"/>
          <w:position w:val="0"/>
          <w:sz w:val="32"/>
          <w:shd w:val="clear" w:fill="auto"/>
          <w:lang w:val="en-US" w:eastAsia="zh-CN"/>
        </w:rPr>
        <w:t>.</w:t>
      </w:r>
      <w:r>
        <w:rPr>
          <w:rFonts w:ascii="仿宋_GB2312" w:hAnsi="仿宋_GB2312" w:eastAsia="仿宋_GB2312" w:cs="仿宋_GB2312"/>
          <w:color w:val="auto"/>
          <w:spacing w:val="0"/>
          <w:position w:val="0"/>
          <w:sz w:val="32"/>
          <w:shd w:val="clear" w:fill="auto"/>
        </w:rPr>
        <w:t>完成县委、县政府交办的其他任务</w:t>
      </w:r>
    </w:p>
    <w:p w14:paraId="031A5DE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auto"/>
          <w:spacing w:val="0"/>
          <w:position w:val="0"/>
          <w:sz w:val="32"/>
          <w:shd w:val="clear" w:fill="auto"/>
        </w:rPr>
        <w:t>县发改局经机构编制委员会批准行政编制14人，实有人员13人；事业编制17人，实有人员13人</w:t>
      </w:r>
    </w:p>
    <w:p w14:paraId="5DAE20D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000000"/>
          <w:spacing w:val="0"/>
          <w:position w:val="0"/>
          <w:sz w:val="32"/>
          <w:shd w:val="clear" w:fill="FFFFFF"/>
        </w:rPr>
      </w:pPr>
      <w:r>
        <w:rPr>
          <w:rFonts w:ascii="宋体" w:hAnsi="宋体" w:eastAsia="宋体" w:cs="宋体"/>
          <w:color w:val="000000"/>
          <w:spacing w:val="0"/>
          <w:position w:val="0"/>
          <w:sz w:val="32"/>
          <w:shd w:val="clear" w:fill="FFFFFF"/>
        </w:rPr>
        <w:t xml:space="preserve">    </w:t>
      </w:r>
      <w:r>
        <w:rPr>
          <w:rFonts w:hint="eastAsia" w:ascii="楷体" w:hAnsi="楷体" w:eastAsia="楷体" w:cs="楷体"/>
          <w:color w:val="000000"/>
          <w:spacing w:val="0"/>
          <w:position w:val="0"/>
          <w:sz w:val="32"/>
          <w:shd w:val="clear" w:fill="FFFFFF"/>
        </w:rPr>
        <w:t>（三）年度主要工作任务。</w:t>
      </w:r>
    </w:p>
    <w:p w14:paraId="415B821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000000"/>
          <w:spacing w:val="0"/>
          <w:position w:val="0"/>
          <w:sz w:val="32"/>
          <w:shd w:val="clear" w:fill="FFFFFF"/>
        </w:rPr>
      </w:pPr>
      <w:r>
        <w:rPr>
          <w:rFonts w:ascii="宋体" w:hAnsi="宋体" w:eastAsia="宋体" w:cs="宋体"/>
          <w:color w:val="000000"/>
          <w:spacing w:val="0"/>
          <w:position w:val="0"/>
          <w:sz w:val="32"/>
          <w:shd w:val="clear" w:fill="FFFFFF"/>
        </w:rPr>
        <w:t xml:space="preserve">    </w:t>
      </w:r>
      <w:r>
        <w:rPr>
          <w:rFonts w:ascii="仿宋_GB2312" w:hAnsi="仿宋_GB2312" w:eastAsia="仿宋_GB2312" w:cs="仿宋_GB2312"/>
          <w:color w:val="auto"/>
          <w:spacing w:val="0"/>
          <w:position w:val="0"/>
          <w:sz w:val="32"/>
          <w:shd w:val="clear" w:fill="auto"/>
        </w:rPr>
        <w:t>2023年县发改局的工作总体思路是“14364”：</w:t>
      </w:r>
      <w:r>
        <w:rPr>
          <w:rFonts w:ascii="仿宋_GB2312" w:hAnsi="仿宋_GB2312" w:eastAsia="仿宋_GB2312" w:cs="仿宋_GB2312"/>
          <w:color w:val="000000"/>
          <w:spacing w:val="0"/>
          <w:position w:val="0"/>
          <w:sz w:val="32"/>
          <w:shd w:val="clear" w:fill="FFFFFF"/>
        </w:rPr>
        <w:t>即聚焦“统项目</w:t>
      </w:r>
      <w:r>
        <w:rPr>
          <w:rFonts w:hint="eastAsia" w:ascii="仿宋_GB2312" w:hAnsi="仿宋_GB2312" w:eastAsia="仿宋_GB2312" w:cs="仿宋_GB2312"/>
          <w:color w:val="000000"/>
          <w:spacing w:val="0"/>
          <w:position w:val="0"/>
          <w:sz w:val="32"/>
          <w:shd w:val="clear" w:fill="FFFFFF"/>
        </w:rPr>
        <w:t>・</w:t>
      </w:r>
      <w:r>
        <w:rPr>
          <w:rFonts w:ascii="仿宋_GB2312" w:hAnsi="仿宋_GB2312" w:eastAsia="仿宋_GB2312" w:cs="仿宋_GB2312"/>
          <w:color w:val="000000"/>
          <w:spacing w:val="0"/>
          <w:position w:val="0"/>
          <w:sz w:val="32"/>
          <w:shd w:val="clear" w:fill="FFFFFF"/>
        </w:rPr>
        <w:t>强招商</w:t>
      </w:r>
      <w:r>
        <w:rPr>
          <w:rFonts w:hint="eastAsia" w:ascii="仿宋_GB2312" w:hAnsi="仿宋_GB2312" w:eastAsia="仿宋_GB2312" w:cs="仿宋_GB2312"/>
          <w:color w:val="000000"/>
          <w:spacing w:val="0"/>
          <w:position w:val="0"/>
          <w:sz w:val="32"/>
          <w:shd w:val="clear" w:fill="FFFFFF"/>
        </w:rPr>
        <w:t>・</w:t>
      </w:r>
      <w:r>
        <w:rPr>
          <w:rFonts w:ascii="仿宋_GB2312" w:hAnsi="仿宋_GB2312" w:eastAsia="仿宋_GB2312" w:cs="仿宋_GB2312"/>
          <w:color w:val="000000"/>
          <w:spacing w:val="0"/>
          <w:position w:val="0"/>
          <w:sz w:val="32"/>
          <w:shd w:val="clear" w:fill="FFFFFF"/>
        </w:rPr>
        <w:t>优产业</w:t>
      </w:r>
      <w:r>
        <w:rPr>
          <w:rFonts w:hint="eastAsia" w:ascii="仿宋_GB2312" w:hAnsi="仿宋_GB2312" w:eastAsia="仿宋_GB2312" w:cs="仿宋_GB2312"/>
          <w:color w:val="000000"/>
          <w:spacing w:val="0"/>
          <w:position w:val="0"/>
          <w:sz w:val="32"/>
          <w:shd w:val="clear" w:fill="FFFFFF"/>
        </w:rPr>
        <w:t>・</w:t>
      </w:r>
      <w:r>
        <w:rPr>
          <w:rFonts w:ascii="仿宋_GB2312" w:hAnsi="仿宋_GB2312" w:eastAsia="仿宋_GB2312" w:cs="仿宋_GB2312"/>
          <w:color w:val="000000"/>
          <w:spacing w:val="0"/>
          <w:position w:val="0"/>
          <w:sz w:val="32"/>
          <w:shd w:val="clear" w:fill="FFFFFF"/>
        </w:rPr>
        <w:t>稳经济，奋力确保建设民族地区中国式现代化先行区开好局”这个目标，抓实“十四五”中期评估修编、建立项目全流程监管体系、建立招商引资全生命周期服务体系、争创国家农村产业融合发展示范园四个重点，开展“跑项争资”“项目护航”“招商提效”三大行动，有序做好项目投资服务、政策法规、经济运行分析、区域经济协调发展、物资储备与物价、新能源产业挖掘六项具体工作，坚持好一个班子成员一件实事、一月一发改讲堂、一个项目一支队伍、“1+1”发改</w:t>
      </w:r>
      <w:r>
        <w:rPr>
          <w:rFonts w:hint="eastAsia" w:ascii="仿宋_GB2312" w:hAnsi="仿宋_GB2312" w:eastAsia="仿宋_GB2312" w:cs="仿宋_GB2312"/>
          <w:color w:val="000000"/>
          <w:spacing w:val="0"/>
          <w:position w:val="0"/>
          <w:sz w:val="32"/>
          <w:shd w:val="clear" w:fill="FFFFFF"/>
          <w:lang w:eastAsia="zh-CN"/>
        </w:rPr>
        <w:t>帮</w:t>
      </w:r>
      <w:r>
        <w:rPr>
          <w:rFonts w:ascii="仿宋_GB2312" w:hAnsi="仿宋_GB2312" w:eastAsia="仿宋_GB2312" w:cs="仿宋_GB2312"/>
          <w:color w:val="000000"/>
          <w:spacing w:val="0"/>
          <w:position w:val="0"/>
          <w:sz w:val="32"/>
          <w:shd w:val="clear" w:fill="FFFFFF"/>
        </w:rPr>
        <w:t xml:space="preserve">带四大抓手。    </w:t>
      </w:r>
    </w:p>
    <w:p w14:paraId="0180CC7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 xml:space="preserve">    完成“十四五”中期评估和修编工作；建立项目全流程监管体系并运行；建立招商引资全生命周期服务体系并运行；争创国家农村产业融合发展示范园。“三大行动”。</w:t>
      </w:r>
    </w:p>
    <w:p w14:paraId="1257794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仿宋_GB2312" w:hAnsi="仿宋_GB2312" w:eastAsia="仿宋_GB2312" w:cs="仿宋_GB2312"/>
          <w:color w:val="000000"/>
          <w:spacing w:val="0"/>
          <w:position w:val="0"/>
          <w:sz w:val="32"/>
          <w:shd w:val="clear" w:fill="FFFFFF"/>
        </w:rPr>
      </w:pPr>
      <w:r>
        <w:rPr>
          <w:rFonts w:hint="eastAsia" w:ascii="楷体" w:hAnsi="楷体" w:eastAsia="楷体" w:cs="楷体"/>
          <w:color w:val="000000"/>
          <w:spacing w:val="0"/>
          <w:position w:val="0"/>
          <w:sz w:val="32"/>
          <w:shd w:val="clear" w:fill="FFFFFF"/>
        </w:rPr>
        <w:t>（四）部门整体支出绩效目标。</w:t>
      </w:r>
    </w:p>
    <w:p w14:paraId="64EB324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 xml:space="preserve">    一是全力推动经济运行持续向好。制定印发《2023年经济工作要点》《峨边彝族自治县“扬优势、破难点、保目标”工作方案》《关于贯彻落实</w:t>
      </w:r>
      <w:r>
        <w:rPr>
          <w:rFonts w:hint="eastAsia" w:ascii="仿宋_GB2312" w:hAnsi="仿宋_GB2312" w:eastAsia="仿宋_GB2312" w:cs="仿宋_GB2312"/>
          <w:color w:val="000000"/>
          <w:spacing w:val="0"/>
          <w:position w:val="0"/>
          <w:sz w:val="32"/>
          <w:shd w:val="clear" w:fill="FFFFFF"/>
          <w:lang w:eastAsia="zh-CN"/>
        </w:rPr>
        <w:t>〈</w:t>
      </w:r>
      <w:r>
        <w:rPr>
          <w:rFonts w:ascii="仿宋_GB2312" w:hAnsi="仿宋_GB2312" w:eastAsia="仿宋_GB2312" w:cs="仿宋_GB2312"/>
          <w:color w:val="000000"/>
          <w:spacing w:val="0"/>
          <w:position w:val="0"/>
          <w:sz w:val="32"/>
          <w:shd w:val="clear" w:fill="FFFFFF"/>
        </w:rPr>
        <w:t>加快推进革命老区脱贫地区民族地区盆周山区振兴发展的意见</w:t>
      </w:r>
      <w:r>
        <w:rPr>
          <w:rFonts w:hint="eastAsia" w:ascii="仿宋_GB2312" w:hAnsi="仿宋_GB2312" w:eastAsia="仿宋_GB2312" w:cs="仿宋_GB2312"/>
          <w:color w:val="000000"/>
          <w:spacing w:val="0"/>
          <w:position w:val="0"/>
          <w:sz w:val="32"/>
          <w:shd w:val="clear" w:fill="FFFFFF"/>
          <w:lang w:eastAsia="zh-CN"/>
        </w:rPr>
        <w:t>〉</w:t>
      </w:r>
      <w:r>
        <w:rPr>
          <w:rFonts w:ascii="仿宋_GB2312" w:hAnsi="仿宋_GB2312" w:eastAsia="仿宋_GB2312" w:cs="仿宋_GB2312"/>
          <w:color w:val="000000"/>
          <w:spacing w:val="0"/>
          <w:position w:val="0"/>
          <w:sz w:val="32"/>
          <w:shd w:val="clear" w:fill="FFFFFF"/>
        </w:rPr>
        <w:t>的实施方案》等重要文件，启动“十四五”规划中期评估修编工作，会同统计、财政、经信、文体旅等主要经济指标牵头部门，按照“周报告、月调度、季分析”机制，定期监测分析经济运行情况，做好预期分析，寻找利好因素，打好提前量。1-11月规模以上工业增加值增长累计增速5.3%，全市排名第五位；全社会固定资产投资累计增速24.7%，全市排名第二位；社会消费品零售总额累计总量28.11亿元，累计增速为11.2%，全市排名第三位。预计全年主要经济指标均能实现“稳五争三”，前三季度全省县域经济高质量发展运行监测排名，我县稳居全市第6，在市委目标绩效办每月主要经济指标考评通报中，我县考评等</w:t>
      </w:r>
      <w:r>
        <w:rPr>
          <w:rFonts w:hint="eastAsia" w:ascii="仿宋_GB2312" w:hAnsi="仿宋_GB2312" w:eastAsia="仿宋_GB2312" w:cs="仿宋_GB2312"/>
          <w:color w:val="000000"/>
          <w:spacing w:val="0"/>
          <w:position w:val="0"/>
          <w:sz w:val="32"/>
          <w:shd w:val="clear" w:fill="FFFFFF"/>
          <w:lang w:eastAsia="zh-CN"/>
        </w:rPr>
        <w:t>多次</w:t>
      </w:r>
      <w:r>
        <w:rPr>
          <w:rFonts w:ascii="仿宋_GB2312" w:hAnsi="仿宋_GB2312" w:eastAsia="仿宋_GB2312" w:cs="仿宋_GB2312"/>
          <w:color w:val="000000"/>
          <w:spacing w:val="0"/>
          <w:position w:val="0"/>
          <w:sz w:val="32"/>
          <w:shd w:val="clear" w:fill="FFFFFF"/>
        </w:rPr>
        <w:t>被评为“优”。</w:t>
      </w:r>
    </w:p>
    <w:p w14:paraId="29B2778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 xml:space="preserve">    二是统筹推进项目建设。开展项目管理“清仓盘库”专项行动和“重点项目前期攻坚月”工作，梳理形成78个重点项目暨《2023年全县重点项目清单》，计划总投资650亿元，成立“1+7”三区联动项目攻坚指挥部和临时党委。每周形成78个重点项目周报，印发《项目建设专刊》16期，每月召开项目推进调度会，每季度召开“推不动”项目现场会，设立“盯到办”办公室，建立“最拖沓”督查督办机制，每月公开“晾晒比拼”重点项目和乡村振兴衔接资金项目。编制“十四五”期间申报项目政策表，梳理政策85项。2023年发行专项债资金6.56亿元，争取中省预算资金0.4407亿元，增发国债投资计划申报项目17个，总投资24.76亿元，计划申报额度19.85亿元，纳入四川省2023年第一批向民间资本推介重点领域项目2个，总投资4亿元，拟吸引民间资本3亿元。制定印发《峨边彝族自治县重大项目专项资金管理暂行办法》，县财政预算安排2023年重大项目专项资金4500万元，制定《峨边彝族自治县政府投资全流程管理“一图一册通”》，对全县乡镇和部门进行项目管理培训3次，9个产业项目</w:t>
      </w:r>
      <w:r>
        <w:rPr>
          <w:rFonts w:hint="eastAsia" w:ascii="仿宋_GB2312" w:hAnsi="仿宋_GB2312" w:eastAsia="仿宋_GB2312" w:cs="仿宋_GB2312"/>
          <w:color w:val="000000"/>
          <w:spacing w:val="0"/>
          <w:position w:val="0"/>
          <w:sz w:val="32"/>
          <w:shd w:val="clear" w:fill="FFFFFF"/>
          <w:lang w:eastAsia="zh-CN"/>
        </w:rPr>
        <w:t>入选</w:t>
      </w:r>
      <w:r>
        <w:rPr>
          <w:rFonts w:ascii="仿宋_GB2312" w:hAnsi="仿宋_GB2312" w:eastAsia="仿宋_GB2312" w:cs="仿宋_GB2312"/>
          <w:color w:val="000000"/>
          <w:spacing w:val="0"/>
          <w:position w:val="0"/>
          <w:sz w:val="32"/>
          <w:shd w:val="clear" w:fill="FFFFFF"/>
        </w:rPr>
        <w:t>全市100个重大产业项目清单，已完成年度投资计划113.2%，排名全市第一。固定资产投资增速均保持在全市前5名，在乐山市第二季度“强定力、争进位”重大项目工作推进会上，我县就项目投资工作作了交流发言。</w:t>
      </w:r>
    </w:p>
    <w:p w14:paraId="30995BC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 xml:space="preserve">    三是扎实推进招商引资。紧扣全县“3+3+3”产业发展思路，探索产业链招商机制，联合印发了《峨边彝族自治县招商引资暨项目全过程推动工作经费使用管理办法（试行）》进一步规范了招商引资工作经费使用。举办乐山市制造业招商引资三年大会战动员大会暨重大项目现场推进活动和峨边彝族自治县2023年第一季度重点项目集中开工暨三区联动建设项目攻坚指挥部出征仪式。县领导带队走出去47批次，拜访企业70家次，“请进来”邀请客商赴峨边考察洽谈130批次，接待企业171家，签约完成四川赤健中药（峨边）天麻产业园等6个项目，总投资额26.4亿元。</w:t>
      </w:r>
    </w:p>
    <w:p w14:paraId="0F36E55A">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 xml:space="preserve">    四是牢牢守住粮食安全底线。按程序完成200吨成品大米、20吨成品菜籽油轮换工作。全面完成整改市粮安考核办反馈我县问题6个问题，确保粮食安全这一“国之大者”在峨边落地落实落细。常态化开展市场询价，关注重要民生商品、防疫用品价格和粮油肉蔬菜等生活物资储备、供应及价格波动，积极配合省市开展涉及违规整治等物价领域的专项工作，抓好涉案物品价格认定工作。2022年度落实粮食安全党政同责考核在乐山11个区市县中排名第7，较2021年度进阶3位。</w:t>
      </w:r>
    </w:p>
    <w:p w14:paraId="064307B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黑体" w:hAnsi="黑体" w:eastAsia="黑体" w:cs="黑体"/>
          <w:color w:val="000000"/>
          <w:spacing w:val="0"/>
          <w:position w:val="0"/>
          <w:sz w:val="32"/>
          <w:shd w:val="clear" w:fill="FFFFFF"/>
        </w:rPr>
      </w:pPr>
      <w:r>
        <w:rPr>
          <w:rFonts w:ascii="黑体" w:hAnsi="黑体" w:eastAsia="黑体" w:cs="黑体"/>
          <w:color w:val="000000"/>
          <w:spacing w:val="0"/>
          <w:position w:val="0"/>
          <w:sz w:val="32"/>
          <w:shd w:val="clear" w:fill="FFFFFF"/>
        </w:rPr>
        <w:t>二、部门财政资金收支情况</w:t>
      </w:r>
    </w:p>
    <w:p w14:paraId="6E5634C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宋体" w:hAnsi="宋体" w:eastAsia="宋体" w:cs="宋体"/>
          <w:color w:val="000000"/>
          <w:spacing w:val="0"/>
          <w:position w:val="0"/>
          <w:sz w:val="32"/>
          <w:shd w:val="clear" w:fill="FFFFFF"/>
        </w:rPr>
      </w:pPr>
      <w:r>
        <w:rPr>
          <w:rFonts w:ascii="宋体" w:hAnsi="宋体" w:eastAsia="宋体" w:cs="宋体"/>
          <w:color w:val="000000"/>
          <w:spacing w:val="0"/>
          <w:position w:val="0"/>
          <w:sz w:val="32"/>
          <w:shd w:val="clear" w:fill="FFFFFF"/>
        </w:rPr>
        <w:t xml:space="preserve">   </w:t>
      </w:r>
      <w:r>
        <w:rPr>
          <w:rFonts w:hint="eastAsia" w:ascii="楷体" w:hAnsi="楷体" w:eastAsia="楷体" w:cs="楷体"/>
          <w:color w:val="000000"/>
          <w:spacing w:val="0"/>
          <w:position w:val="0"/>
          <w:sz w:val="32"/>
          <w:shd w:val="clear" w:fill="FFFFFF"/>
        </w:rPr>
        <w:t>（一）部门财政资金收入情况。</w:t>
      </w:r>
    </w:p>
    <w:p w14:paraId="1D5C2AB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 xml:space="preserve">    2023年年初预算数887.94万元，2023年调整预算数2728.33万元。</w:t>
      </w:r>
    </w:p>
    <w:p w14:paraId="250186E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 xml:space="preserve">   </w:t>
      </w:r>
      <w:r>
        <w:rPr>
          <w:rFonts w:hint="eastAsia" w:ascii="楷体" w:hAnsi="楷体" w:eastAsia="楷体" w:cs="楷体"/>
          <w:color w:val="000000"/>
          <w:spacing w:val="0"/>
          <w:position w:val="0"/>
          <w:sz w:val="32"/>
          <w:shd w:val="clear" w:fill="FFFFFF"/>
        </w:rPr>
        <w:t>（二）部门财政资金支出情况。</w:t>
      </w:r>
      <w:r>
        <w:rPr>
          <w:rFonts w:ascii="仿宋_GB2312" w:hAnsi="仿宋_GB2312" w:eastAsia="仿宋_GB2312" w:cs="仿宋_GB2312"/>
          <w:color w:val="000000"/>
          <w:spacing w:val="0"/>
          <w:position w:val="0"/>
          <w:sz w:val="32"/>
          <w:shd w:val="clear" w:fill="FFFFFF"/>
        </w:rPr>
        <w:t>2023年财政资金支出2844.68万元，其中：基本支出为702.99万元，项目支出为2141.69万元。</w:t>
      </w:r>
    </w:p>
    <w:p w14:paraId="43A3F9A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仿宋_GB2312" w:hAnsi="仿宋_GB2312" w:eastAsia="仿宋_GB2312" w:cs="仿宋_GB2312"/>
          <w:color w:val="000000"/>
          <w:spacing w:val="0"/>
          <w:position w:val="0"/>
          <w:sz w:val="32"/>
          <w:shd w:val="clear" w:fill="FFFFFF"/>
        </w:rPr>
      </w:pPr>
      <w:r>
        <w:rPr>
          <w:rFonts w:hint="eastAsia" w:ascii="楷体" w:hAnsi="楷体" w:eastAsia="楷体" w:cs="楷体"/>
          <w:color w:val="000000"/>
          <w:spacing w:val="0"/>
          <w:position w:val="0"/>
          <w:sz w:val="32"/>
          <w:shd w:val="clear" w:fill="FFFFFF"/>
        </w:rPr>
        <w:t>（三）部门财政资金结转结余情况。</w:t>
      </w:r>
      <w:r>
        <w:rPr>
          <w:rFonts w:ascii="仿宋_GB2312" w:hAnsi="仿宋_GB2312" w:eastAsia="仿宋_GB2312" w:cs="仿宋_GB2312"/>
          <w:color w:val="000000"/>
          <w:spacing w:val="0"/>
          <w:position w:val="0"/>
          <w:sz w:val="32"/>
          <w:shd w:val="clear" w:fill="FFFFFF"/>
        </w:rPr>
        <w:t>2023年财政资金结转结余136.34万元</w:t>
      </w:r>
    </w:p>
    <w:p w14:paraId="4659848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黑体" w:hAnsi="黑体" w:eastAsia="黑体" w:cs="黑体"/>
          <w:color w:val="000000"/>
          <w:spacing w:val="0"/>
          <w:position w:val="0"/>
          <w:sz w:val="32"/>
          <w:shd w:val="clear" w:fill="FFFFFF"/>
        </w:rPr>
      </w:pPr>
      <w:r>
        <w:rPr>
          <w:rFonts w:ascii="黑体" w:hAnsi="黑体" w:eastAsia="黑体" w:cs="黑体"/>
          <w:color w:val="000000"/>
          <w:spacing w:val="0"/>
          <w:position w:val="0"/>
          <w:sz w:val="32"/>
          <w:shd w:val="clear" w:fill="FFFFFF"/>
        </w:rPr>
        <w:t>三、部门整体绩效管理情况</w:t>
      </w:r>
    </w:p>
    <w:p w14:paraId="30B27B5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仿宋_GB2312" w:hAnsi="仿宋_GB2312" w:eastAsia="仿宋_GB2312" w:cs="仿宋_GB2312"/>
          <w:color w:val="000000"/>
          <w:spacing w:val="0"/>
          <w:position w:val="0"/>
          <w:sz w:val="32"/>
          <w:shd w:val="clear" w:fill="FFFFFF"/>
        </w:rPr>
      </w:pPr>
      <w:r>
        <w:rPr>
          <w:rFonts w:hint="eastAsia" w:ascii="楷体" w:hAnsi="楷体" w:eastAsia="楷体" w:cs="楷体"/>
          <w:color w:val="000000"/>
          <w:spacing w:val="0"/>
          <w:position w:val="0"/>
          <w:sz w:val="32"/>
          <w:shd w:val="clear" w:fill="FFFFFF"/>
        </w:rPr>
        <w:t>（一）部门整体履职绩效分析。</w:t>
      </w:r>
    </w:p>
    <w:p w14:paraId="3645141A">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县发改局单位性质属于综合协调部门，2023年县发改局根据历年单位工作需要以及人员经费进行了资金预算，并对除人员基本经费以外的资金依照其使用作用进行细化编制。制定保运转的行政指标体系专项预算管理项目3个，确保2023年度全局工作顺利开展和完成。</w:t>
      </w:r>
    </w:p>
    <w:p w14:paraId="22BA446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基本支出为887.94万元，主要是用于单位职工的工资薪金及各项保险缴费、福利和日常工作时的接待、办公支出，保障单位基本运转。</w:t>
      </w:r>
    </w:p>
    <w:p w14:paraId="354F6A2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left"/>
        <w:textAlignment w:val="auto"/>
        <w:outlineLvl w:val="9"/>
        <w:rPr>
          <w:rFonts w:hint="eastAsia" w:ascii="楷体" w:hAnsi="楷体" w:eastAsia="楷体" w:cs="楷体"/>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 xml:space="preserve">   </w:t>
      </w:r>
      <w:r>
        <w:rPr>
          <w:rFonts w:hint="eastAsia" w:ascii="楷体" w:hAnsi="楷体" w:eastAsia="楷体" w:cs="楷体"/>
          <w:color w:val="000000"/>
          <w:spacing w:val="0"/>
          <w:position w:val="0"/>
          <w:sz w:val="32"/>
          <w:shd w:val="clear" w:fill="FFFFFF"/>
        </w:rPr>
        <w:t>（二）特定目标类项目绩效分析。</w:t>
      </w:r>
    </w:p>
    <w:p w14:paraId="66DB60F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1.整体情况：</w:t>
      </w:r>
      <w:r>
        <w:rPr>
          <w:rFonts w:ascii="仿宋_GB2312" w:hAnsi="仿宋_GB2312" w:eastAsia="仿宋_GB2312" w:cs="仿宋_GB2312"/>
          <w:color w:val="auto"/>
          <w:spacing w:val="0"/>
          <w:position w:val="0"/>
          <w:sz w:val="32"/>
          <w:shd w:val="clear" w:fill="auto"/>
        </w:rPr>
        <w:t>县发改局2023年保基本运转项目支出为620万元，本单位专项预算管理项目为3个。</w:t>
      </w:r>
    </w:p>
    <w:p w14:paraId="0D4FFA7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2.100万以上项目：</w:t>
      </w:r>
    </w:p>
    <w:p w14:paraId="0EBAE86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jc w:val="both"/>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项目1：招商引资暨项目经费</w:t>
      </w:r>
    </w:p>
    <w:p w14:paraId="7A4CAC5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20"/>
        <w:jc w:val="both"/>
        <w:textAlignment w:val="auto"/>
        <w:outlineLvl w:val="9"/>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招商引资暨项目经费</w:t>
      </w:r>
      <w:r>
        <w:rPr>
          <w:rFonts w:ascii="仿宋_GB2312" w:hAnsi="仿宋_GB2312" w:eastAsia="仿宋_GB2312" w:cs="仿宋_GB2312"/>
          <w:color w:val="000000"/>
          <w:spacing w:val="0"/>
          <w:position w:val="0"/>
          <w:sz w:val="32"/>
          <w:shd w:val="clear" w:fill="auto"/>
        </w:rPr>
        <w:t>年初预算资金500万元，我局申报188.22万元，经财政局批复下达后，</w:t>
      </w:r>
      <w:r>
        <w:rPr>
          <w:rFonts w:ascii="仿宋_GB2312" w:hAnsi="仿宋_GB2312" w:eastAsia="仿宋_GB2312" w:cs="仿宋_GB2312"/>
          <w:color w:val="auto"/>
          <w:spacing w:val="0"/>
          <w:position w:val="0"/>
          <w:sz w:val="32"/>
          <w:shd w:val="clear" w:fill="auto"/>
        </w:rPr>
        <w:t>用于招商引资及项目工作所产生的费用</w:t>
      </w:r>
      <w:r>
        <w:rPr>
          <w:rFonts w:ascii="仿宋_GB2312" w:hAnsi="仿宋_GB2312" w:eastAsia="仿宋_GB2312" w:cs="仿宋_GB2312"/>
          <w:color w:val="000000"/>
          <w:spacing w:val="0"/>
          <w:position w:val="0"/>
          <w:sz w:val="32"/>
          <w:shd w:val="clear" w:fill="auto"/>
        </w:rPr>
        <w:t>。</w:t>
      </w:r>
      <w:r>
        <w:rPr>
          <w:rFonts w:hint="eastAsia" w:ascii="仿宋_GB2312" w:hAnsi="仿宋_GB2312" w:eastAsia="仿宋_GB2312" w:cs="仿宋_GB2312"/>
          <w:color w:val="000000"/>
          <w:spacing w:val="0"/>
          <w:position w:val="0"/>
          <w:sz w:val="32"/>
          <w:shd w:val="clear" w:fill="auto"/>
          <w:lang w:eastAsia="zh-CN"/>
        </w:rPr>
        <w:t>截至2023年</w:t>
      </w:r>
      <w:r>
        <w:rPr>
          <w:rFonts w:ascii="仿宋_GB2312" w:hAnsi="仿宋_GB2312" w:eastAsia="仿宋_GB2312" w:cs="仿宋_GB2312"/>
          <w:color w:val="auto"/>
          <w:spacing w:val="0"/>
          <w:position w:val="0"/>
          <w:sz w:val="32"/>
          <w:shd w:val="clear" w:fill="auto"/>
        </w:rPr>
        <w:t>12月该项目资金支出188.22万元，预算执行率37.64%。</w:t>
      </w:r>
    </w:p>
    <w:p w14:paraId="216A739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项目2：政策咨询工作专项经费</w:t>
      </w:r>
    </w:p>
    <w:p w14:paraId="6ECB513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jc w:val="left"/>
        <w:textAlignment w:val="auto"/>
        <w:outlineLvl w:val="9"/>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政策咨询工作专项经费</w:t>
      </w:r>
      <w:r>
        <w:rPr>
          <w:rFonts w:ascii="仿宋_GB2312" w:hAnsi="仿宋_GB2312" w:eastAsia="仿宋_GB2312" w:cs="仿宋_GB2312"/>
          <w:color w:val="000000"/>
          <w:spacing w:val="0"/>
          <w:position w:val="0"/>
          <w:sz w:val="32"/>
          <w:shd w:val="clear" w:fill="auto"/>
        </w:rPr>
        <w:t>年初预算资金100万元，我局申报3.6万元，经财政局批复下达后，</w:t>
      </w:r>
      <w:r>
        <w:rPr>
          <w:rFonts w:ascii="仿宋_GB2312" w:hAnsi="仿宋_GB2312" w:eastAsia="仿宋_GB2312" w:cs="仿宋_GB2312"/>
          <w:color w:val="auto"/>
          <w:spacing w:val="0"/>
          <w:position w:val="0"/>
          <w:sz w:val="32"/>
          <w:shd w:val="clear" w:fill="auto"/>
        </w:rPr>
        <w:t>用于政策咨询方面产生的费用</w:t>
      </w:r>
      <w:r>
        <w:rPr>
          <w:rFonts w:ascii="仿宋_GB2312" w:hAnsi="仿宋_GB2312" w:eastAsia="仿宋_GB2312" w:cs="仿宋_GB2312"/>
          <w:color w:val="000000"/>
          <w:spacing w:val="0"/>
          <w:position w:val="0"/>
          <w:sz w:val="32"/>
          <w:shd w:val="clear" w:fill="auto"/>
        </w:rPr>
        <w:t>。</w:t>
      </w:r>
      <w:r>
        <w:rPr>
          <w:rFonts w:hint="eastAsia" w:ascii="仿宋_GB2312" w:hAnsi="仿宋_GB2312" w:eastAsia="仿宋_GB2312" w:cs="仿宋_GB2312"/>
          <w:color w:val="000000"/>
          <w:spacing w:val="0"/>
          <w:position w:val="0"/>
          <w:sz w:val="32"/>
          <w:shd w:val="clear" w:fill="auto"/>
          <w:lang w:eastAsia="zh-CN"/>
        </w:rPr>
        <w:t>截至2023年</w:t>
      </w:r>
      <w:r>
        <w:rPr>
          <w:rFonts w:ascii="仿宋_GB2312" w:hAnsi="仿宋_GB2312" w:eastAsia="仿宋_GB2312" w:cs="仿宋_GB2312"/>
          <w:color w:val="auto"/>
          <w:spacing w:val="0"/>
          <w:position w:val="0"/>
          <w:sz w:val="32"/>
          <w:shd w:val="clear" w:fill="auto"/>
        </w:rPr>
        <w:t>12月该项目资金支出3.6万元，预算咨询率为3.6%。</w:t>
      </w:r>
    </w:p>
    <w:p w14:paraId="64F35C4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left"/>
        <w:textAlignment w:val="auto"/>
        <w:outlineLvl w:val="9"/>
        <w:rPr>
          <w:rFonts w:hint="eastAsia" w:ascii="楷体" w:hAnsi="楷体" w:eastAsia="楷体" w:cs="楷体"/>
          <w:color w:val="000000"/>
          <w:spacing w:val="0"/>
          <w:position w:val="0"/>
          <w:sz w:val="32"/>
          <w:shd w:val="clear" w:fill="FFFFFF"/>
        </w:rPr>
      </w:pPr>
      <w:r>
        <w:rPr>
          <w:rFonts w:ascii="宋体" w:hAnsi="宋体" w:eastAsia="宋体" w:cs="宋体"/>
          <w:color w:val="000000"/>
          <w:spacing w:val="0"/>
          <w:position w:val="0"/>
          <w:sz w:val="32"/>
          <w:shd w:val="clear" w:fill="FFFFFF"/>
        </w:rPr>
        <w:t xml:space="preserve">   </w:t>
      </w:r>
      <w:r>
        <w:rPr>
          <w:rFonts w:hint="eastAsia" w:ascii="楷体" w:hAnsi="楷体" w:eastAsia="楷体" w:cs="楷体"/>
          <w:color w:val="000000"/>
          <w:spacing w:val="0"/>
          <w:position w:val="0"/>
          <w:sz w:val="32"/>
          <w:shd w:val="clear" w:fill="FFFFFF"/>
        </w:rPr>
        <w:t>（三）结果应用情况。</w:t>
      </w:r>
    </w:p>
    <w:p w14:paraId="71D3BB4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000000"/>
          <w:spacing w:val="0"/>
          <w:position w:val="0"/>
          <w:sz w:val="32"/>
          <w:shd w:val="clear" w:fill="FFFFFF"/>
        </w:rPr>
      </w:pPr>
      <w:r>
        <w:rPr>
          <w:rFonts w:ascii="仿宋" w:hAnsi="仿宋" w:eastAsia="仿宋" w:cs="仿宋"/>
          <w:color w:val="auto"/>
          <w:spacing w:val="0"/>
          <w:position w:val="0"/>
          <w:sz w:val="32"/>
          <w:shd w:val="clear" w:fill="auto"/>
        </w:rPr>
        <w:t xml:space="preserve">   </w:t>
      </w:r>
      <w:r>
        <w:rPr>
          <w:rFonts w:ascii="仿宋_GB2312" w:hAnsi="仿宋_GB2312" w:eastAsia="仿宋_GB2312" w:cs="仿宋_GB2312"/>
          <w:color w:val="000000"/>
          <w:spacing w:val="0"/>
          <w:position w:val="0"/>
          <w:sz w:val="32"/>
          <w:shd w:val="clear" w:fill="FFFFFF"/>
        </w:rPr>
        <w:t xml:space="preserve"> 县发改局对2023年各项预算展开分析研究，认为基本支出预算准确合理。项目个数、金额预算准确、经费使用合理，作用成效显著。</w:t>
      </w:r>
    </w:p>
    <w:p w14:paraId="552ED44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黑体" w:hAnsi="黑体" w:eastAsia="黑体" w:cs="黑体"/>
          <w:color w:val="000000"/>
          <w:spacing w:val="0"/>
          <w:position w:val="0"/>
          <w:sz w:val="32"/>
          <w:shd w:val="clear" w:fill="FFFFFF"/>
        </w:rPr>
      </w:pPr>
      <w:r>
        <w:rPr>
          <w:rFonts w:ascii="黑体" w:hAnsi="黑体" w:eastAsia="黑体" w:cs="黑体"/>
          <w:color w:val="000000"/>
          <w:spacing w:val="0"/>
          <w:position w:val="0"/>
          <w:sz w:val="32"/>
          <w:shd w:val="clear" w:fill="FFFFFF"/>
        </w:rPr>
        <w:t>四、评价结论及建议</w:t>
      </w:r>
    </w:p>
    <w:p w14:paraId="17A23BA2">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仿宋" w:hAnsi="仿宋" w:eastAsia="仿宋" w:cs="仿宋"/>
          <w:color w:val="auto"/>
          <w:spacing w:val="0"/>
          <w:position w:val="0"/>
          <w:sz w:val="32"/>
          <w:shd w:val="clear" w:fill="auto"/>
        </w:rPr>
      </w:pPr>
      <w:r>
        <w:rPr>
          <w:rFonts w:hint="eastAsia" w:ascii="楷体" w:hAnsi="楷体" w:eastAsia="楷体" w:cs="楷体"/>
          <w:color w:val="000000"/>
          <w:spacing w:val="0"/>
          <w:position w:val="0"/>
          <w:sz w:val="32"/>
          <w:shd w:val="clear" w:fill="FFFFFF"/>
        </w:rPr>
        <w:t xml:space="preserve">（一）评价结论。 </w:t>
      </w:r>
      <w:r>
        <w:rPr>
          <w:rFonts w:ascii="仿宋" w:hAnsi="仿宋" w:eastAsia="仿宋" w:cs="仿宋"/>
          <w:color w:val="auto"/>
          <w:spacing w:val="0"/>
          <w:position w:val="0"/>
          <w:sz w:val="32"/>
          <w:shd w:val="clear" w:fill="auto"/>
        </w:rPr>
        <w:t xml:space="preserve"> </w:t>
      </w:r>
    </w:p>
    <w:p w14:paraId="3AC9AB4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000000"/>
          <w:spacing w:val="0"/>
          <w:position w:val="0"/>
          <w:sz w:val="32"/>
          <w:shd w:val="clear" w:fill="FFFFFF"/>
        </w:rPr>
      </w:pPr>
      <w:r>
        <w:rPr>
          <w:rFonts w:ascii="仿宋_GB2312" w:hAnsi="仿宋_GB2312" w:eastAsia="仿宋_GB2312" w:cs="仿宋_GB2312"/>
          <w:color w:val="000000"/>
          <w:spacing w:val="0"/>
          <w:position w:val="0"/>
          <w:sz w:val="32"/>
          <w:shd w:val="clear" w:fill="FFFFFF"/>
        </w:rPr>
        <w:t xml:space="preserve">    县发改局2023年的各项预算金额准确、科目设置精细、经费使用合理，作用成效显著，充分发挥了应有的职责，保障社会和谐，促进社会满意度提升。总分值</w:t>
      </w:r>
      <w:r>
        <w:rPr>
          <w:rFonts w:ascii="仿宋_GB2312" w:hAnsi="仿宋_GB2312" w:eastAsia="仿宋_GB2312" w:cs="仿宋_GB2312"/>
          <w:color w:val="auto"/>
          <w:spacing w:val="0"/>
          <w:position w:val="0"/>
          <w:sz w:val="32"/>
          <w:shd w:val="clear" w:fill="auto"/>
        </w:rPr>
        <w:t>100分，自评得分97分。</w:t>
      </w:r>
    </w:p>
    <w:p w14:paraId="75E35A6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hint="eastAsia" w:ascii="楷体" w:hAnsi="楷体" w:eastAsia="楷体" w:cs="楷体"/>
          <w:color w:val="000000"/>
          <w:spacing w:val="0"/>
          <w:position w:val="0"/>
          <w:sz w:val="32"/>
          <w:shd w:val="clear" w:fill="FFFFFF"/>
        </w:rPr>
      </w:pPr>
      <w:r>
        <w:rPr>
          <w:rFonts w:hint="eastAsia" w:ascii="楷体" w:hAnsi="楷体" w:eastAsia="楷体" w:cs="楷体"/>
          <w:color w:val="000000"/>
          <w:spacing w:val="0"/>
          <w:position w:val="0"/>
          <w:sz w:val="32"/>
          <w:shd w:val="clear" w:fill="FFFFFF"/>
        </w:rPr>
        <w:t>（二）存在问题。</w:t>
      </w:r>
    </w:p>
    <w:p w14:paraId="521C3B8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ascii="仿宋_GB2312" w:hAnsi="仿宋_GB2312" w:eastAsia="仿宋_GB2312" w:cs="仿宋_GB2312"/>
          <w:color w:val="000000"/>
          <w:spacing w:val="0"/>
          <w:position w:val="0"/>
          <w:sz w:val="32"/>
          <w:shd w:val="clear" w:fill="FFFFFF"/>
        </w:rPr>
      </w:pPr>
      <w:r>
        <w:rPr>
          <w:rFonts w:hint="eastAsia" w:ascii="仿宋_GB2312" w:hAnsi="仿宋_GB2312" w:eastAsia="仿宋_GB2312" w:cs="仿宋_GB2312"/>
          <w:color w:val="000000"/>
          <w:spacing w:val="0"/>
          <w:position w:val="0"/>
          <w:sz w:val="32"/>
          <w:shd w:val="clear" w:fill="FFFFFF"/>
          <w:lang w:val="en-US" w:eastAsia="zh-CN"/>
        </w:rPr>
        <w:t xml:space="preserve">    </w:t>
      </w:r>
      <w:r>
        <w:rPr>
          <w:rFonts w:ascii="仿宋_GB2312" w:hAnsi="仿宋_GB2312" w:eastAsia="仿宋_GB2312" w:cs="仿宋_GB2312"/>
          <w:color w:val="000000"/>
          <w:spacing w:val="0"/>
          <w:position w:val="0"/>
          <w:sz w:val="32"/>
          <w:shd w:val="clear" w:fill="FFFFFF"/>
        </w:rPr>
        <w:t>预算资金使用明细有所差异。</w:t>
      </w:r>
    </w:p>
    <w:p w14:paraId="789B9D3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jc w:val="both"/>
        <w:textAlignment w:val="auto"/>
        <w:outlineLvl w:val="9"/>
        <w:rPr>
          <w:rFonts w:hint="eastAsia" w:ascii="楷体" w:hAnsi="楷体" w:eastAsia="楷体" w:cs="楷体"/>
          <w:color w:val="000000"/>
          <w:spacing w:val="0"/>
          <w:position w:val="0"/>
          <w:sz w:val="32"/>
          <w:shd w:val="clear" w:fill="FFFFFF"/>
        </w:rPr>
      </w:pPr>
      <w:r>
        <w:rPr>
          <w:rFonts w:ascii="宋体" w:hAnsi="宋体" w:eastAsia="宋体" w:cs="宋体"/>
          <w:color w:val="000000"/>
          <w:spacing w:val="0"/>
          <w:position w:val="0"/>
          <w:sz w:val="32"/>
          <w:shd w:val="clear" w:fill="FFFFFF"/>
        </w:rPr>
        <w:t xml:space="preserve">   </w:t>
      </w:r>
      <w:r>
        <w:rPr>
          <w:rFonts w:hint="eastAsia" w:ascii="楷体" w:hAnsi="楷体" w:eastAsia="楷体" w:cs="楷体"/>
          <w:color w:val="000000"/>
          <w:spacing w:val="0"/>
          <w:position w:val="0"/>
          <w:sz w:val="32"/>
          <w:shd w:val="clear" w:fill="FFFFFF"/>
        </w:rPr>
        <w:t>（三）改进建议。</w:t>
      </w:r>
    </w:p>
    <w:p w14:paraId="65C675C6">
      <w:pPr>
        <w:keepNext w:val="0"/>
        <w:keepLines w:val="0"/>
        <w:pageBreakBefore w:val="0"/>
        <w:widowControl w:val="0"/>
        <w:kinsoku/>
        <w:wordWrap/>
        <w:overflowPunct/>
        <w:topLinePunct w:val="0"/>
        <w:autoSpaceDE/>
        <w:autoSpaceDN/>
        <w:bidi w:val="0"/>
        <w:adjustRightInd/>
        <w:snapToGrid/>
        <w:spacing w:line="600" w:lineRule="exact"/>
        <w:ind w:right="0" w:rightChars="0"/>
        <w:jc w:val="left"/>
        <w:textAlignment w:val="auto"/>
        <w:outlineLvl w:val="9"/>
        <w:rPr>
          <w:rFonts w:ascii="仿宋_GB2312" w:hAnsi="仿宋_GB2312" w:eastAsia="仿宋_GB2312" w:cs="仿宋_GB2312"/>
          <w:color w:val="000000"/>
          <w:spacing w:val="0"/>
          <w:position w:val="0"/>
          <w:sz w:val="32"/>
          <w:shd w:val="clear" w:fill="FFFFFF"/>
        </w:rPr>
      </w:pPr>
      <w:r>
        <w:rPr>
          <w:rFonts w:hint="eastAsia" w:ascii="仿宋_GB2312" w:hAnsi="仿宋_GB2312" w:eastAsia="仿宋_GB2312" w:cs="仿宋_GB2312"/>
          <w:color w:val="000000"/>
          <w:spacing w:val="0"/>
          <w:position w:val="0"/>
          <w:sz w:val="32"/>
          <w:shd w:val="clear" w:fill="FFFFFF"/>
          <w:lang w:val="en-US" w:eastAsia="zh-CN"/>
        </w:rPr>
        <w:t xml:space="preserve">    </w:t>
      </w:r>
      <w:r>
        <w:rPr>
          <w:rFonts w:ascii="仿宋_GB2312" w:hAnsi="仿宋_GB2312" w:eastAsia="仿宋_GB2312" w:cs="仿宋_GB2312"/>
          <w:color w:val="000000"/>
          <w:spacing w:val="0"/>
          <w:position w:val="0"/>
          <w:sz w:val="32"/>
          <w:shd w:val="clear" w:fill="FFFFFF"/>
        </w:rPr>
        <w:t>将加强经费管理，明确细化资金用途，按需申请，从而提高预算完成率。</w:t>
      </w:r>
    </w:p>
    <w:p w14:paraId="1C3BDC3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楷体_GB2312" w:hAnsi="楷体_GB2312" w:eastAsia="楷体_GB2312" w:cs="楷体_GB2312"/>
          <w:color w:val="000000"/>
          <w:spacing w:val="0"/>
          <w:position w:val="0"/>
          <w:sz w:val="32"/>
          <w:shd w:val="clear" w:fill="FFFFFF"/>
        </w:rPr>
      </w:pPr>
    </w:p>
    <w:p w14:paraId="46CEBB2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楷体_GB2312" w:hAnsi="楷体_GB2312" w:eastAsia="楷体_GB2312" w:cs="楷体_GB2312"/>
          <w:color w:val="000000"/>
          <w:spacing w:val="0"/>
          <w:position w:val="0"/>
          <w:sz w:val="32"/>
          <w:shd w:val="clear" w:fill="FFFFFF"/>
        </w:rPr>
      </w:pPr>
    </w:p>
    <w:p w14:paraId="7BE2515D">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ascii="楷体_GB2312" w:hAnsi="楷体_GB2312" w:eastAsia="楷体_GB2312" w:cs="楷体_GB2312"/>
          <w:color w:val="000000"/>
          <w:spacing w:val="0"/>
          <w:position w:val="0"/>
          <w:sz w:val="32"/>
          <w:shd w:val="clear" w:fill="FFFFFF"/>
        </w:rPr>
      </w:pPr>
    </w:p>
    <w:p w14:paraId="4B277CBA">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left"/>
        <w:textAlignment w:val="auto"/>
        <w:outlineLvl w:val="9"/>
        <w:rPr>
          <w:rFonts w:hint="eastAsia" w:ascii="楷体_GB2312" w:hAnsi="楷体_GB2312" w:eastAsia="楷体_GB2312" w:cs="楷体_GB2312"/>
          <w:color w:val="000000"/>
          <w:spacing w:val="0"/>
          <w:position w:val="0"/>
          <w:sz w:val="32"/>
          <w:shd w:val="clear" w:fill="FFFFFF"/>
          <w:lang w:val="en-US" w:eastAsia="zh-CN"/>
        </w:rPr>
      </w:pPr>
      <w:r>
        <w:rPr>
          <w:rFonts w:hint="eastAsia" w:ascii="楷体_GB2312" w:hAnsi="楷体_GB2312" w:eastAsia="楷体_GB2312" w:cs="楷体_GB2312"/>
          <w:color w:val="000000"/>
          <w:spacing w:val="0"/>
          <w:position w:val="0"/>
          <w:sz w:val="32"/>
          <w:shd w:val="clear" w:fill="FFFFFF"/>
          <w:lang w:val="en-US" w:eastAsia="zh-CN"/>
        </w:rPr>
        <w:t xml:space="preserve">                                   2024年7月3日</w:t>
      </w:r>
    </w:p>
    <w:sectPr>
      <w:pgSz w:w="11906" w:h="16838"/>
      <w:pgMar w:top="2041" w:right="1474" w:bottom="1587" w:left="1474" w:header="720" w:footer="720" w:gutter="0"/>
      <w:cols w:equalWidth="0" w:num="1">
        <w:col w:w="8306"/>
      </w:cols>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rawingGridVerticalSpacing w:val="157"/>
  <w:displayVerticalDrawingGridEvery w:val="2"/>
  <w:compat>
    <w:useFELayout/>
    <w:compatSetting w:name="compatibilityMode" w:uri="http://schemas.microsoft.com/office/word" w:val="12"/>
  </w:compat>
  <w:docVars>
    <w:docVar w:name="commondata" w:val="eyJoZGlkIjoiMzU1MjFjMDUwODIwZDg4NDczZTI5ZmU1NTQ5YzljMTkifQ=="/>
  </w:docVars>
  <w:rsids>
    <w:rsidRoot w:val="00000000"/>
    <w:rsid w:val="213872B8"/>
    <w:rsid w:val="24504123"/>
    <w:rsid w:val="2517136E"/>
    <w:rsid w:val="34D377A6"/>
    <w:rsid w:val="69E044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3558</Words>
  <Characters>3784</Characters>
  <Lines>0</Lines>
  <Paragraphs>0</Paragraphs>
  <TotalTime>1</TotalTime>
  <ScaleCrop>false</ScaleCrop>
  <LinksUpToDate>false</LinksUpToDate>
  <CharactersWithSpaces>4002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2024-07-08T08:37:00Z</dcterms:created>
  <dc:creator>Administrator</dc:creator>
  <cp:lastModifiedBy>碧云天</cp:lastModifiedBy>
  <cp:lastPrinted>2024-07-08T08:40:00Z</cp:lastPrinted>
  <dcterms:modified xsi:type="dcterms:W3CDTF">2024-10-24T06:20:04Z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1000EA530E8D4FB5AE313B214481A8F3_12</vt:lpwstr>
  </property>
</Properties>
</file>